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FC" w:rsidRPr="00AB74FC" w:rsidRDefault="00AB74FC" w:rsidP="00AB74FC">
      <w:pPr>
        <w:spacing w:after="120" w:line="247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COMBINED BRIDGE ENTERPRISE AND CDOT FUNDED PROJECTS</w:t>
      </w:r>
    </w:p>
    <w:p w:rsidR="003F65C0" w:rsidRPr="00AB74FC" w:rsidRDefault="003F65C0" w:rsidP="003F65C0">
      <w:pPr>
        <w:spacing w:after="120" w:line="247" w:lineRule="auto"/>
        <w:rPr>
          <w:rFonts w:ascii="Arial" w:hAnsi="Arial" w:cs="Arial"/>
          <w:b/>
        </w:rPr>
      </w:pPr>
      <w:r w:rsidRPr="00AB74FC">
        <w:rPr>
          <w:rFonts w:ascii="Arial" w:hAnsi="Arial" w:cs="Arial"/>
          <w:b/>
        </w:rPr>
        <w:t>Background:</w:t>
      </w:r>
    </w:p>
    <w:p w:rsidR="003F65C0" w:rsidRPr="003F65C0" w:rsidRDefault="003F65C0" w:rsidP="003F65C0">
      <w:pPr>
        <w:spacing w:after="120" w:line="247" w:lineRule="auto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The Bridge Enterprise (BE) and CDOT are two separate entities with two separate funding sources.  The BE is funded from an increase in registration fees for vehicles and is a result of legislation passed in Colorado </w:t>
      </w:r>
      <w:r w:rsidR="00AB74FC">
        <w:rPr>
          <w:rFonts w:ascii="Arial" w:hAnsi="Arial" w:cs="Arial"/>
        </w:rPr>
        <w:t>in 2009</w:t>
      </w:r>
      <w:r w:rsidRPr="003F65C0">
        <w:rPr>
          <w:rFonts w:ascii="Arial" w:hAnsi="Arial" w:cs="Arial"/>
        </w:rPr>
        <w:t xml:space="preserve">.  CDOT is funded from federal and state highway user taxes on gasoline.  </w:t>
      </w:r>
    </w:p>
    <w:p w:rsidR="003F65C0" w:rsidRPr="003F65C0" w:rsidRDefault="003F65C0" w:rsidP="003F65C0">
      <w:pPr>
        <w:spacing w:after="120" w:line="247" w:lineRule="auto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CDOT projects can be set up in Trns*port to accept several different funding sources.  The funding sources are identified in Trns*port and assigned a priority which defines </w:t>
      </w:r>
      <w:r w:rsidR="00AB74FC">
        <w:rPr>
          <w:rFonts w:ascii="Arial" w:hAnsi="Arial" w:cs="Arial"/>
        </w:rPr>
        <w:t>the order in which</w:t>
      </w:r>
      <w:r w:rsidR="00AB74FC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>each source of funding is spent.  There are fundamentally four reasons why BE and CDOT funds cannot be comingled into one project this way.</w:t>
      </w:r>
    </w:p>
    <w:p w:rsidR="003F65C0" w:rsidRPr="003F65C0" w:rsidRDefault="003F65C0" w:rsidP="00AB74FC">
      <w:pPr>
        <w:numPr>
          <w:ilvl w:val="0"/>
          <w:numId w:val="1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  <w:i/>
        </w:rPr>
        <w:t>Tabor</w:t>
      </w:r>
      <w:r w:rsidRPr="003F65C0">
        <w:rPr>
          <w:rFonts w:ascii="Arial" w:hAnsi="Arial" w:cs="Arial"/>
        </w:rPr>
        <w:t xml:space="preserve"> </w:t>
      </w:r>
      <w:r w:rsidR="00E91FBC" w:rsidRPr="00E91FBC">
        <w:rPr>
          <w:rFonts w:ascii="Arial" w:hAnsi="Arial" w:cs="Arial"/>
          <w:i/>
        </w:rPr>
        <w:t>Legislation</w:t>
      </w:r>
      <w:r w:rsidRPr="003F65C0">
        <w:rPr>
          <w:rFonts w:ascii="Arial" w:hAnsi="Arial" w:cs="Arial"/>
        </w:rPr>
        <w:t xml:space="preserve"> - Tabor legislation prohibits one state governmental entity from giving money to another state governmental entity.</w:t>
      </w:r>
    </w:p>
    <w:p w:rsidR="003F65C0" w:rsidRPr="003F65C0" w:rsidRDefault="003F65C0" w:rsidP="00AB74FC">
      <w:pPr>
        <w:numPr>
          <w:ilvl w:val="0"/>
          <w:numId w:val="1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  <w:i/>
        </w:rPr>
        <w:t>Trns•port Voucher System</w:t>
      </w:r>
      <w:r w:rsidRPr="003F65C0">
        <w:rPr>
          <w:rFonts w:ascii="Arial" w:hAnsi="Arial" w:cs="Arial"/>
        </w:rPr>
        <w:t xml:space="preserve">  -  The Trns•port system is set up to pay a contractor for work from a single owner, or CDOT, and is not capable of paying a contractor from two different owners. The Trns•port Shazam/SAP interface  that assigns a payment voucher from the Owner (CDOT) to the contractor would have to be modified to accommodate two owners.  </w:t>
      </w:r>
    </w:p>
    <w:p w:rsidR="003F65C0" w:rsidRPr="003F65C0" w:rsidRDefault="003F65C0" w:rsidP="00AB74FC">
      <w:pPr>
        <w:numPr>
          <w:ilvl w:val="0"/>
          <w:numId w:val="1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  <w:i/>
        </w:rPr>
        <w:t>Construction Engineering (CE)</w:t>
      </w:r>
      <w:r w:rsidRPr="003F65C0">
        <w:rPr>
          <w:rFonts w:ascii="Arial" w:hAnsi="Arial" w:cs="Arial"/>
        </w:rPr>
        <w:t xml:space="preserve">  -  CDOT has a CE pool from which indirect costs such as vehicles, buildings, Staff Services, etc. are funded.  The BE will be billed directly for these types of charges.  Because BE projects </w:t>
      </w:r>
      <w:r w:rsidR="00E91FBC">
        <w:rPr>
          <w:rFonts w:ascii="Arial" w:hAnsi="Arial" w:cs="Arial"/>
        </w:rPr>
        <w:t>are not subject to the</w:t>
      </w:r>
      <w:r w:rsidRPr="003F65C0">
        <w:rPr>
          <w:rFonts w:ascii="Arial" w:hAnsi="Arial" w:cs="Arial"/>
        </w:rPr>
        <w:t xml:space="preserve"> CE rate the </w:t>
      </w:r>
      <w:r w:rsidR="00822A69">
        <w:rPr>
          <w:rFonts w:ascii="Arial" w:hAnsi="Arial" w:cs="Arial"/>
        </w:rPr>
        <w:t xml:space="preserve">CE </w:t>
      </w:r>
      <w:r w:rsidRPr="003F65C0">
        <w:rPr>
          <w:rFonts w:ascii="Arial" w:hAnsi="Arial" w:cs="Arial"/>
        </w:rPr>
        <w:t xml:space="preserve">work will have to be separated into two projects.  </w:t>
      </w:r>
    </w:p>
    <w:p w:rsidR="003F65C0" w:rsidRPr="003F65C0" w:rsidRDefault="003F65C0" w:rsidP="00AB74FC">
      <w:pPr>
        <w:numPr>
          <w:ilvl w:val="0"/>
          <w:numId w:val="1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  <w:i/>
        </w:rPr>
      </w:pPr>
      <w:r w:rsidRPr="003F65C0">
        <w:rPr>
          <w:rFonts w:ascii="Arial" w:hAnsi="Arial" w:cs="Arial"/>
          <w:i/>
        </w:rPr>
        <w:t>SAP</w:t>
      </w:r>
      <w:r w:rsidRPr="003F65C0">
        <w:rPr>
          <w:rFonts w:ascii="Arial" w:hAnsi="Arial" w:cs="Arial"/>
        </w:rPr>
        <w:t xml:space="preserve">  -  Numerous forms within SAP would require modification to accept a combination project (</w:t>
      </w:r>
      <w:r w:rsidR="00E91FBC" w:rsidRPr="003F65C0">
        <w:rPr>
          <w:rFonts w:ascii="Arial" w:hAnsi="Arial" w:cs="Arial"/>
        </w:rPr>
        <w:t>i.e.</w:t>
      </w:r>
      <w:r w:rsidRPr="003F65C0">
        <w:rPr>
          <w:rFonts w:ascii="Arial" w:hAnsi="Arial" w:cs="Arial"/>
        </w:rPr>
        <w:t xml:space="preserve"> Form 65).</w:t>
      </w:r>
    </w:p>
    <w:p w:rsidR="003F65C0" w:rsidRPr="003F65C0" w:rsidRDefault="003F65C0" w:rsidP="003F65C0">
      <w:pPr>
        <w:spacing w:after="120" w:line="247" w:lineRule="auto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This </w:t>
      </w:r>
      <w:r w:rsidR="00E91FBC">
        <w:rPr>
          <w:rFonts w:ascii="Arial" w:hAnsi="Arial" w:cs="Arial"/>
        </w:rPr>
        <w:t>design bulletin</w:t>
      </w:r>
      <w:r w:rsidRPr="003F65C0">
        <w:rPr>
          <w:rFonts w:ascii="Arial" w:hAnsi="Arial" w:cs="Arial"/>
        </w:rPr>
        <w:t xml:space="preserve"> is one of three </w:t>
      </w:r>
      <w:r w:rsidR="00E91FBC">
        <w:rPr>
          <w:rFonts w:ascii="Arial" w:hAnsi="Arial" w:cs="Arial"/>
        </w:rPr>
        <w:t xml:space="preserve">design and construction bulletins </w:t>
      </w:r>
      <w:r w:rsidRPr="003F65C0">
        <w:rPr>
          <w:rFonts w:ascii="Arial" w:hAnsi="Arial" w:cs="Arial"/>
        </w:rPr>
        <w:t>developed to assist the regions with designing</w:t>
      </w:r>
      <w:r w:rsidR="00E91FBC">
        <w:rPr>
          <w:rFonts w:ascii="Arial" w:hAnsi="Arial" w:cs="Arial"/>
        </w:rPr>
        <w:t xml:space="preserve"> and</w:t>
      </w:r>
      <w:r w:rsidRPr="003F65C0">
        <w:rPr>
          <w:rFonts w:ascii="Arial" w:hAnsi="Arial" w:cs="Arial"/>
        </w:rPr>
        <w:t xml:space="preserve"> constructing</w:t>
      </w:r>
      <w:r w:rsidR="00E91FBC">
        <w:rPr>
          <w:rFonts w:ascii="Arial" w:hAnsi="Arial" w:cs="Arial"/>
        </w:rPr>
        <w:t xml:space="preserve"> projects</w:t>
      </w:r>
      <w:r w:rsidRPr="003F65C0">
        <w:rPr>
          <w:rFonts w:ascii="Arial" w:hAnsi="Arial" w:cs="Arial"/>
        </w:rPr>
        <w:t xml:space="preserve"> </w:t>
      </w:r>
      <w:r w:rsidR="00E91FBC">
        <w:rPr>
          <w:rFonts w:ascii="Arial" w:hAnsi="Arial" w:cs="Arial"/>
        </w:rPr>
        <w:t>while</w:t>
      </w:r>
      <w:r w:rsidR="00E91FBC" w:rsidRPr="003F65C0">
        <w:rPr>
          <w:rFonts w:ascii="Arial" w:hAnsi="Arial" w:cs="Arial"/>
        </w:rPr>
        <w:t xml:space="preserve"> </w:t>
      </w:r>
      <w:r w:rsidR="00E91FBC">
        <w:rPr>
          <w:rFonts w:ascii="Arial" w:hAnsi="Arial" w:cs="Arial"/>
        </w:rPr>
        <w:t>meeting</w:t>
      </w:r>
      <w:r w:rsidR="00E91FBC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>the needs of the business office when handling co-funded BE</w:t>
      </w:r>
      <w:r w:rsidR="00E91FBC">
        <w:rPr>
          <w:rFonts w:ascii="Arial" w:hAnsi="Arial" w:cs="Arial"/>
        </w:rPr>
        <w:t>-CDOT</w:t>
      </w:r>
      <w:r w:rsidRPr="003F65C0">
        <w:rPr>
          <w:rFonts w:ascii="Arial" w:hAnsi="Arial" w:cs="Arial"/>
        </w:rPr>
        <w:t xml:space="preserve"> projects.  </w:t>
      </w:r>
      <w:r w:rsidR="00E91FBC">
        <w:rPr>
          <w:rFonts w:ascii="Arial" w:hAnsi="Arial" w:cs="Arial"/>
        </w:rPr>
        <w:t>R</w:t>
      </w:r>
      <w:r w:rsidRPr="003F65C0">
        <w:rPr>
          <w:rFonts w:ascii="Arial" w:hAnsi="Arial" w:cs="Arial"/>
        </w:rPr>
        <w:t xml:space="preserve">egion personnel </w:t>
      </w:r>
      <w:r w:rsidR="00E91FBC">
        <w:rPr>
          <w:rFonts w:ascii="Arial" w:hAnsi="Arial" w:cs="Arial"/>
        </w:rPr>
        <w:t>must</w:t>
      </w:r>
      <w:r w:rsidRPr="003F65C0">
        <w:rPr>
          <w:rFonts w:ascii="Arial" w:hAnsi="Arial" w:cs="Arial"/>
        </w:rPr>
        <w:t xml:space="preserve"> ensure that the work designed and performed is funded from the appropriate source.  BE work must be accounted for and paid </w:t>
      </w:r>
      <w:r w:rsidR="00633481">
        <w:rPr>
          <w:rFonts w:ascii="Arial" w:hAnsi="Arial" w:cs="Arial"/>
        </w:rPr>
        <w:t xml:space="preserve">for </w:t>
      </w:r>
      <w:r w:rsidRPr="003F65C0">
        <w:rPr>
          <w:rFonts w:ascii="Arial" w:hAnsi="Arial" w:cs="Arial"/>
        </w:rPr>
        <w:t>separately from other work on the project.</w:t>
      </w:r>
    </w:p>
    <w:p w:rsidR="003F65C0" w:rsidRPr="00633481" w:rsidRDefault="00633481" w:rsidP="003F65C0">
      <w:pPr>
        <w:spacing w:after="120" w:line="247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Guidance:</w:t>
      </w:r>
    </w:p>
    <w:p w:rsidR="003F65C0" w:rsidRPr="003F65C0" w:rsidRDefault="00633481" w:rsidP="00633481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Preliminary Engineering (</w:t>
      </w:r>
      <w:r w:rsidR="003F65C0" w:rsidRPr="00633481">
        <w:rPr>
          <w:rFonts w:ascii="Arial" w:hAnsi="Arial" w:cs="Arial"/>
        </w:rPr>
        <w:t>PE</w:t>
      </w:r>
      <w:r>
        <w:rPr>
          <w:rFonts w:ascii="Arial" w:hAnsi="Arial" w:cs="Arial"/>
        </w:rPr>
        <w:t>)</w:t>
      </w:r>
      <w:r w:rsidR="003F65C0" w:rsidRPr="00633481">
        <w:rPr>
          <w:rFonts w:ascii="Arial" w:hAnsi="Arial" w:cs="Arial"/>
        </w:rPr>
        <w:t xml:space="preserve"> charges</w:t>
      </w:r>
      <w:r w:rsidR="003F65C0" w:rsidRPr="003F65C0">
        <w:rPr>
          <w:rFonts w:ascii="Arial" w:hAnsi="Arial" w:cs="Arial"/>
        </w:rPr>
        <w:t xml:space="preserve"> necessary to design the project </w:t>
      </w:r>
      <w:r>
        <w:rPr>
          <w:rFonts w:ascii="Arial" w:hAnsi="Arial" w:cs="Arial"/>
        </w:rPr>
        <w:t>must</w:t>
      </w:r>
      <w:r w:rsidR="003F65C0" w:rsidRPr="003F65C0">
        <w:rPr>
          <w:rFonts w:ascii="Arial" w:hAnsi="Arial" w:cs="Arial"/>
        </w:rPr>
        <w:t xml:space="preserve"> be tracked.  Time spent designing the BE work will have to be separated from the time spent designing other work.  </w:t>
      </w:r>
      <w:r w:rsidR="005120A3">
        <w:rPr>
          <w:rFonts w:ascii="Arial" w:hAnsi="Arial" w:cs="Arial"/>
        </w:rPr>
        <w:t>Contact Darrell Johnson (303-757-9032</w:t>
      </w:r>
      <w:r w:rsidR="000F1888">
        <w:rPr>
          <w:rFonts w:ascii="Arial" w:hAnsi="Arial" w:cs="Arial"/>
        </w:rPr>
        <w:t>)</w:t>
      </w:r>
      <w:r w:rsidR="005120A3">
        <w:rPr>
          <w:rFonts w:ascii="Arial" w:hAnsi="Arial" w:cs="Arial"/>
        </w:rPr>
        <w:t xml:space="preserve"> in</w:t>
      </w:r>
      <w:r w:rsidR="003F65C0" w:rsidRPr="003F65C0">
        <w:rPr>
          <w:rFonts w:ascii="Arial" w:hAnsi="Arial" w:cs="Arial"/>
        </w:rPr>
        <w:t xml:space="preserve"> the Business Office for details.</w:t>
      </w:r>
    </w:p>
    <w:p w:rsidR="003F65C0" w:rsidRPr="003F65C0" w:rsidRDefault="003F65C0" w:rsidP="00633481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Two </w:t>
      </w:r>
      <w:r w:rsidRPr="00633481">
        <w:rPr>
          <w:rFonts w:ascii="Arial" w:hAnsi="Arial" w:cs="Arial"/>
        </w:rPr>
        <w:t>task orders</w:t>
      </w:r>
      <w:r w:rsidRPr="003F65C0">
        <w:rPr>
          <w:rFonts w:ascii="Arial" w:hAnsi="Arial" w:cs="Arial"/>
        </w:rPr>
        <w:t xml:space="preserve"> for consultant design assistance </w:t>
      </w:r>
      <w:r w:rsidR="00633481">
        <w:rPr>
          <w:rFonts w:ascii="Arial" w:hAnsi="Arial" w:cs="Arial"/>
        </w:rPr>
        <w:t>must be issued and</w:t>
      </w:r>
      <w:r w:rsidRPr="003F65C0">
        <w:rPr>
          <w:rFonts w:ascii="Arial" w:hAnsi="Arial" w:cs="Arial"/>
        </w:rPr>
        <w:t xml:space="preserve"> tracked </w:t>
      </w:r>
      <w:r w:rsidR="00633481">
        <w:rPr>
          <w:rFonts w:ascii="Arial" w:hAnsi="Arial" w:cs="Arial"/>
        </w:rPr>
        <w:t>so the</w:t>
      </w:r>
      <w:r w:rsidR="00633481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 xml:space="preserve">BE work </w:t>
      </w:r>
      <w:r w:rsidR="00633481">
        <w:rPr>
          <w:rFonts w:ascii="Arial" w:hAnsi="Arial" w:cs="Arial"/>
        </w:rPr>
        <w:t xml:space="preserve">can be </w:t>
      </w:r>
      <w:r w:rsidRPr="003F65C0">
        <w:rPr>
          <w:rFonts w:ascii="Arial" w:hAnsi="Arial" w:cs="Arial"/>
        </w:rPr>
        <w:t xml:space="preserve">paid </w:t>
      </w:r>
      <w:r w:rsidR="00633481">
        <w:rPr>
          <w:rFonts w:ascii="Arial" w:hAnsi="Arial" w:cs="Arial"/>
        </w:rPr>
        <w:t xml:space="preserve">for </w:t>
      </w:r>
      <w:r w:rsidRPr="003F65C0">
        <w:rPr>
          <w:rFonts w:ascii="Arial" w:hAnsi="Arial" w:cs="Arial"/>
        </w:rPr>
        <w:t>independent</w:t>
      </w:r>
      <w:r w:rsidR="00633481">
        <w:rPr>
          <w:rFonts w:ascii="Arial" w:hAnsi="Arial" w:cs="Arial"/>
        </w:rPr>
        <w:t>ly</w:t>
      </w:r>
      <w:r w:rsidRPr="003F65C0">
        <w:rPr>
          <w:rFonts w:ascii="Arial" w:hAnsi="Arial" w:cs="Arial"/>
        </w:rPr>
        <w:t xml:space="preserve"> from all other work.</w:t>
      </w:r>
    </w:p>
    <w:p w:rsidR="003F65C0" w:rsidRPr="003F65C0" w:rsidRDefault="003F65C0" w:rsidP="00633481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There will be 2 separate projects created in </w:t>
      </w:r>
      <w:r w:rsidRPr="00633481">
        <w:rPr>
          <w:rFonts w:ascii="Arial" w:hAnsi="Arial" w:cs="Arial"/>
        </w:rPr>
        <w:t>SAP</w:t>
      </w:r>
      <w:r w:rsidRPr="003F65C0">
        <w:rPr>
          <w:rFonts w:ascii="Arial" w:hAnsi="Arial" w:cs="Arial"/>
        </w:rPr>
        <w:t xml:space="preserve">.  The CDOT funded project will be the only project that will be transferred to </w:t>
      </w:r>
      <w:r w:rsidRPr="00633481">
        <w:rPr>
          <w:rFonts w:ascii="Arial" w:hAnsi="Arial" w:cs="Arial"/>
        </w:rPr>
        <w:t>Trns•port</w:t>
      </w:r>
      <w:r w:rsidRPr="003F65C0">
        <w:rPr>
          <w:rFonts w:ascii="Arial" w:hAnsi="Arial" w:cs="Arial"/>
        </w:rPr>
        <w:t xml:space="preserve"> via Trns•port Accessories.   This project will be advertised, awarded, and passed to SiteManager for construction administration.  </w:t>
      </w:r>
      <w:r w:rsidRPr="003F65C0">
        <w:rPr>
          <w:rFonts w:ascii="Arial" w:hAnsi="Arial" w:cs="Arial"/>
        </w:rPr>
        <w:lastRenderedPageBreak/>
        <w:t xml:space="preserve">However, BE work will have to be clearly identified and separated from other work on the project.  The plans </w:t>
      </w:r>
      <w:r w:rsidR="00305096">
        <w:rPr>
          <w:rFonts w:ascii="Arial" w:hAnsi="Arial" w:cs="Arial"/>
        </w:rPr>
        <w:t>must</w:t>
      </w:r>
      <w:r w:rsidRPr="003F65C0">
        <w:rPr>
          <w:rFonts w:ascii="Arial" w:hAnsi="Arial" w:cs="Arial"/>
        </w:rPr>
        <w:t xml:space="preserve"> unmistakably define the limits </w:t>
      </w:r>
      <w:r w:rsidR="009F1229">
        <w:rPr>
          <w:rFonts w:ascii="Arial" w:hAnsi="Arial" w:cs="Arial"/>
        </w:rPr>
        <w:t>between</w:t>
      </w:r>
      <w:r w:rsidR="00305096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 xml:space="preserve">the BE work </w:t>
      </w:r>
      <w:r w:rsidR="00305096">
        <w:rPr>
          <w:rFonts w:ascii="Arial" w:hAnsi="Arial" w:cs="Arial"/>
        </w:rPr>
        <w:t>and</w:t>
      </w:r>
      <w:r w:rsidR="00305096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 xml:space="preserve">the rest of the project.  Categories will be utilized to separate the BE work from the CDOT work as </w:t>
      </w:r>
      <w:r w:rsidR="00305096">
        <w:rPr>
          <w:rFonts w:ascii="Arial" w:hAnsi="Arial" w:cs="Arial"/>
        </w:rPr>
        <w:t>defined in item 5</w:t>
      </w:r>
      <w:r w:rsidR="00305096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 xml:space="preserve">below.  </w:t>
      </w:r>
    </w:p>
    <w:p w:rsidR="003F65C0" w:rsidRPr="003F65C0" w:rsidRDefault="003F65C0" w:rsidP="00633481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Only one </w:t>
      </w:r>
      <w:r w:rsidRPr="00305096">
        <w:rPr>
          <w:rFonts w:ascii="Arial" w:hAnsi="Arial" w:cs="Arial"/>
          <w:i/>
        </w:rPr>
        <w:t>Summary of Approximate Quantities</w:t>
      </w:r>
      <w:r w:rsidRPr="003F65C0">
        <w:rPr>
          <w:rFonts w:ascii="Arial" w:hAnsi="Arial" w:cs="Arial"/>
          <w:b/>
        </w:rPr>
        <w:t xml:space="preserve"> w</w:t>
      </w:r>
      <w:r w:rsidRPr="003F65C0">
        <w:rPr>
          <w:rFonts w:ascii="Arial" w:hAnsi="Arial" w:cs="Arial"/>
        </w:rPr>
        <w:t>ill be required, but tabulations will have to clearly identify differences betwe</w:t>
      </w:r>
      <w:r w:rsidRPr="003F65C0">
        <w:rPr>
          <w:rFonts w:ascii="Arial" w:hAnsi="Arial" w:cs="Arial"/>
          <w:b/>
        </w:rPr>
        <w:t xml:space="preserve">en </w:t>
      </w:r>
      <w:r w:rsidRPr="00305096">
        <w:rPr>
          <w:rFonts w:ascii="Arial" w:hAnsi="Arial" w:cs="Arial"/>
        </w:rPr>
        <w:t>BE</w:t>
      </w:r>
      <w:r w:rsidRPr="003F65C0">
        <w:rPr>
          <w:rFonts w:ascii="Arial" w:hAnsi="Arial" w:cs="Arial"/>
        </w:rPr>
        <w:t xml:space="preserve"> and other work.  </w:t>
      </w:r>
    </w:p>
    <w:p w:rsidR="003F65C0" w:rsidRPr="003F65C0" w:rsidRDefault="003F65C0" w:rsidP="00633481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05096">
        <w:rPr>
          <w:rFonts w:ascii="Arial" w:hAnsi="Arial" w:cs="Arial"/>
        </w:rPr>
        <w:t>Categories</w:t>
      </w:r>
      <w:r w:rsidRPr="003F65C0">
        <w:rPr>
          <w:rFonts w:ascii="Arial" w:hAnsi="Arial" w:cs="Arial"/>
        </w:rPr>
        <w:t xml:space="preserve"> will be used in transport to identify and separate BE funding from other funding sources.  Multiple non-BE funding sources will be handled as they are now by prioritizing </w:t>
      </w:r>
      <w:r w:rsidR="00305096">
        <w:rPr>
          <w:rFonts w:ascii="Arial" w:hAnsi="Arial" w:cs="Arial"/>
        </w:rPr>
        <w:t>the order in which</w:t>
      </w:r>
      <w:r w:rsidR="00305096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>funding sources are spent.  Category examples are shown below:</w:t>
      </w:r>
    </w:p>
    <w:p w:rsidR="003F65C0" w:rsidRPr="0075642C" w:rsidRDefault="00305096" w:rsidP="0075642C">
      <w:pPr>
        <w:tabs>
          <w:tab w:val="center" w:pos="3420"/>
          <w:tab w:val="center" w:pos="6480"/>
        </w:tabs>
        <w:spacing w:after="120" w:line="247" w:lineRule="auto"/>
        <w:rPr>
          <w:rFonts w:ascii="Arial" w:hAnsi="Arial" w:cs="Arial"/>
          <w:b/>
          <w:u w:val="single"/>
        </w:rPr>
      </w:pPr>
      <w:r w:rsidRPr="00534CAA">
        <w:rPr>
          <w:rFonts w:ascii="Arial" w:hAnsi="Arial" w:cs="Arial"/>
        </w:rPr>
        <w:tab/>
      </w:r>
      <w:r w:rsidR="003F65C0" w:rsidRPr="0075642C">
        <w:rPr>
          <w:rFonts w:ascii="Arial" w:hAnsi="Arial" w:cs="Arial"/>
          <w:b/>
          <w:u w:val="single"/>
        </w:rPr>
        <w:t>Bridge Enterprise</w:t>
      </w:r>
      <w:r w:rsidR="003F65C0" w:rsidRPr="0075642C">
        <w:rPr>
          <w:rFonts w:ascii="Arial" w:hAnsi="Arial" w:cs="Arial"/>
          <w:b/>
        </w:rPr>
        <w:tab/>
      </w:r>
      <w:r w:rsidR="003F65C0" w:rsidRPr="0075642C">
        <w:rPr>
          <w:rFonts w:ascii="Arial" w:hAnsi="Arial" w:cs="Arial"/>
          <w:b/>
          <w:u w:val="single"/>
        </w:rPr>
        <w:t>All Other</w:t>
      </w:r>
    </w:p>
    <w:p w:rsidR="003F65C0" w:rsidRPr="003F65C0" w:rsidRDefault="003F65C0" w:rsidP="00534CAA">
      <w:pPr>
        <w:shd w:val="clear" w:color="auto" w:fill="BFBFBF"/>
        <w:tabs>
          <w:tab w:val="center" w:pos="3420"/>
          <w:tab w:val="center" w:pos="6480"/>
        </w:tabs>
        <w:spacing w:after="120" w:line="247" w:lineRule="auto"/>
        <w:rPr>
          <w:rFonts w:ascii="Arial" w:hAnsi="Arial" w:cs="Arial"/>
        </w:rPr>
      </w:pPr>
      <w:r w:rsidRPr="003F65C0">
        <w:rPr>
          <w:rFonts w:ascii="Arial" w:hAnsi="Arial" w:cs="Arial"/>
        </w:rPr>
        <w:t>Roadway</w:t>
      </w:r>
      <w:r w:rsidRPr="003F65C0">
        <w:rPr>
          <w:rFonts w:ascii="Arial" w:hAnsi="Arial" w:cs="Arial"/>
        </w:rPr>
        <w:tab/>
        <w:t>0250</w:t>
      </w:r>
      <w:r w:rsidRPr="003F65C0">
        <w:rPr>
          <w:rFonts w:ascii="Arial" w:hAnsi="Arial" w:cs="Arial"/>
        </w:rPr>
        <w:tab/>
        <w:t>0200</w:t>
      </w:r>
    </w:p>
    <w:p w:rsidR="003F65C0" w:rsidRPr="003F65C0" w:rsidRDefault="003F65C0" w:rsidP="0075642C">
      <w:pPr>
        <w:tabs>
          <w:tab w:val="center" w:pos="3420"/>
          <w:tab w:val="center" w:pos="6480"/>
        </w:tabs>
        <w:spacing w:after="120" w:line="247" w:lineRule="auto"/>
        <w:rPr>
          <w:rFonts w:ascii="Arial" w:hAnsi="Arial" w:cs="Arial"/>
        </w:rPr>
      </w:pPr>
      <w:r w:rsidRPr="003F65C0">
        <w:rPr>
          <w:rFonts w:ascii="Arial" w:hAnsi="Arial" w:cs="Arial"/>
        </w:rPr>
        <w:t>Single Bridge</w:t>
      </w:r>
      <w:r w:rsidRPr="003F65C0">
        <w:rPr>
          <w:rFonts w:ascii="Arial" w:hAnsi="Arial" w:cs="Arial"/>
        </w:rPr>
        <w:tab/>
        <w:t>0350</w:t>
      </w:r>
      <w:r w:rsidRPr="003F65C0">
        <w:rPr>
          <w:rFonts w:ascii="Arial" w:hAnsi="Arial" w:cs="Arial"/>
        </w:rPr>
        <w:tab/>
        <w:t>0300</w:t>
      </w:r>
    </w:p>
    <w:p w:rsidR="003F65C0" w:rsidRPr="003F65C0" w:rsidRDefault="003F65C0" w:rsidP="00534CAA">
      <w:pPr>
        <w:shd w:val="clear" w:color="auto" w:fill="BFBFBF"/>
        <w:tabs>
          <w:tab w:val="center" w:pos="3420"/>
          <w:tab w:val="center" w:pos="6480"/>
        </w:tabs>
        <w:spacing w:after="120" w:line="247" w:lineRule="auto"/>
        <w:rPr>
          <w:rFonts w:ascii="Arial" w:hAnsi="Arial" w:cs="Arial"/>
        </w:rPr>
      </w:pPr>
      <w:r w:rsidRPr="003F65C0">
        <w:rPr>
          <w:rFonts w:ascii="Arial" w:hAnsi="Arial" w:cs="Arial"/>
        </w:rPr>
        <w:t>Mult</w:t>
      </w:r>
      <w:r w:rsidR="00305096">
        <w:rPr>
          <w:rFonts w:ascii="Arial" w:hAnsi="Arial" w:cs="Arial"/>
        </w:rPr>
        <w:t>iple</w:t>
      </w:r>
      <w:r w:rsidR="00305096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>Bridges</w:t>
      </w:r>
      <w:r w:rsidRPr="003F65C0">
        <w:rPr>
          <w:rFonts w:ascii="Arial" w:hAnsi="Arial" w:cs="Arial"/>
        </w:rPr>
        <w:tab/>
        <w:t>0351, 0352, etc.</w:t>
      </w:r>
      <w:r w:rsidRPr="003F65C0">
        <w:rPr>
          <w:rFonts w:ascii="Arial" w:hAnsi="Arial" w:cs="Arial"/>
        </w:rPr>
        <w:tab/>
        <w:t>0301, 0302, etc.</w:t>
      </w:r>
    </w:p>
    <w:p w:rsidR="003F65C0" w:rsidRPr="003F65C0" w:rsidRDefault="003F65C0" w:rsidP="0075642C">
      <w:pPr>
        <w:tabs>
          <w:tab w:val="center" w:pos="3420"/>
          <w:tab w:val="center" w:pos="6480"/>
        </w:tabs>
        <w:spacing w:after="120" w:line="247" w:lineRule="auto"/>
        <w:rPr>
          <w:rFonts w:ascii="Arial" w:hAnsi="Arial" w:cs="Arial"/>
        </w:rPr>
      </w:pPr>
      <w:r w:rsidRPr="003F65C0">
        <w:rPr>
          <w:rFonts w:ascii="Arial" w:hAnsi="Arial" w:cs="Arial"/>
        </w:rPr>
        <w:t>Field Trailers, etc.</w:t>
      </w:r>
      <w:r w:rsidRPr="003F65C0">
        <w:rPr>
          <w:rFonts w:ascii="Arial" w:hAnsi="Arial" w:cs="Arial"/>
        </w:rPr>
        <w:tab/>
        <w:t>0450</w:t>
      </w:r>
      <w:r w:rsidRPr="003F65C0">
        <w:rPr>
          <w:rFonts w:ascii="Arial" w:hAnsi="Arial" w:cs="Arial"/>
        </w:rPr>
        <w:tab/>
        <w:t>0400</w:t>
      </w:r>
    </w:p>
    <w:p w:rsidR="003F65C0" w:rsidRPr="003F65C0" w:rsidRDefault="003F65C0" w:rsidP="0075642C">
      <w:pPr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Only bridge items should be categorized using 0350, 0351, 0352, etc.  Applying roadway items to the 0350 categories will impact the cost per </w:t>
      </w:r>
      <w:r w:rsidR="0075642C">
        <w:rPr>
          <w:rFonts w:ascii="Arial" w:hAnsi="Arial" w:cs="Arial"/>
        </w:rPr>
        <w:t>square foot</w:t>
      </w:r>
      <w:r w:rsidRPr="003F65C0">
        <w:rPr>
          <w:rFonts w:ascii="Arial" w:hAnsi="Arial" w:cs="Arial"/>
        </w:rPr>
        <w:t xml:space="preserve"> information in the CDOT Cost Data Book and </w:t>
      </w:r>
      <w:r w:rsidR="0075642C">
        <w:rPr>
          <w:rFonts w:ascii="Arial" w:hAnsi="Arial" w:cs="Arial"/>
        </w:rPr>
        <w:t>therefore</w:t>
      </w:r>
      <w:r w:rsidR="00822A69">
        <w:rPr>
          <w:rFonts w:ascii="Arial" w:hAnsi="Arial" w:cs="Arial"/>
        </w:rPr>
        <w:t>, they</w:t>
      </w:r>
      <w:r w:rsidR="0075642C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>need to be accounted for in the 0250 category.</w:t>
      </w:r>
    </w:p>
    <w:p w:rsidR="003F65C0" w:rsidRPr="003F65C0" w:rsidRDefault="003F65C0" w:rsidP="0075642C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Only one </w:t>
      </w:r>
      <w:r w:rsidR="0075642C">
        <w:rPr>
          <w:rFonts w:ascii="Arial" w:hAnsi="Arial" w:cs="Arial"/>
        </w:rPr>
        <w:t>F</w:t>
      </w:r>
      <w:r w:rsidRPr="0075642C">
        <w:rPr>
          <w:rFonts w:ascii="Arial" w:hAnsi="Arial" w:cs="Arial"/>
        </w:rPr>
        <w:t>orm 463, 128, and 65</w:t>
      </w:r>
      <w:r w:rsidRPr="003F65C0">
        <w:rPr>
          <w:rFonts w:ascii="Arial" w:hAnsi="Arial" w:cs="Arial"/>
        </w:rPr>
        <w:t xml:space="preserve"> will need to be generated.  </w:t>
      </w:r>
      <w:r w:rsidR="005120A3">
        <w:rPr>
          <w:rFonts w:ascii="Arial" w:hAnsi="Arial" w:cs="Arial"/>
        </w:rPr>
        <w:t>Contact Darrell Johnson (303-757-9032) in</w:t>
      </w:r>
      <w:r w:rsidR="005120A3" w:rsidRPr="003F65C0">
        <w:rPr>
          <w:rFonts w:ascii="Arial" w:hAnsi="Arial" w:cs="Arial"/>
        </w:rPr>
        <w:t xml:space="preserve"> the Business Office </w:t>
      </w:r>
      <w:r w:rsidRPr="003F65C0">
        <w:rPr>
          <w:rFonts w:ascii="Arial" w:hAnsi="Arial" w:cs="Arial"/>
        </w:rPr>
        <w:t xml:space="preserve">for instructions related to the </w:t>
      </w:r>
      <w:r w:rsidR="0075642C">
        <w:rPr>
          <w:rFonts w:ascii="Arial" w:hAnsi="Arial" w:cs="Arial"/>
        </w:rPr>
        <w:t>F</w:t>
      </w:r>
      <w:r w:rsidRPr="003F65C0">
        <w:rPr>
          <w:rFonts w:ascii="Arial" w:hAnsi="Arial" w:cs="Arial"/>
        </w:rPr>
        <w:t>orm 65.</w:t>
      </w:r>
    </w:p>
    <w:p w:rsidR="003F65C0" w:rsidRPr="003F65C0" w:rsidRDefault="003F65C0" w:rsidP="0075642C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Only one </w:t>
      </w:r>
      <w:r w:rsidRPr="0075642C">
        <w:rPr>
          <w:rFonts w:ascii="Arial" w:hAnsi="Arial" w:cs="Arial"/>
        </w:rPr>
        <w:t>859 schedule</w:t>
      </w:r>
      <w:r w:rsidRPr="003F65C0">
        <w:rPr>
          <w:rFonts w:ascii="Arial" w:hAnsi="Arial" w:cs="Arial"/>
        </w:rPr>
        <w:t xml:space="preserve"> will be required.</w:t>
      </w:r>
    </w:p>
    <w:p w:rsidR="003F65C0" w:rsidRPr="003F65C0" w:rsidRDefault="003F65C0" w:rsidP="0075642C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Acquisition of </w:t>
      </w:r>
      <w:r w:rsidRPr="0075642C">
        <w:rPr>
          <w:rFonts w:ascii="Arial" w:hAnsi="Arial" w:cs="Arial"/>
        </w:rPr>
        <w:t>ROW, pre-construction survey</w:t>
      </w:r>
      <w:r w:rsidRPr="003F65C0">
        <w:rPr>
          <w:rFonts w:ascii="Arial" w:hAnsi="Arial" w:cs="Arial"/>
        </w:rPr>
        <w:t xml:space="preserve">, and other design phase work performed by region specialties will have to be accounted for separately.  </w:t>
      </w:r>
      <w:r w:rsidR="00E52435">
        <w:rPr>
          <w:rFonts w:ascii="Arial" w:hAnsi="Arial" w:cs="Arial"/>
        </w:rPr>
        <w:t>The</w:t>
      </w:r>
      <w:r w:rsidRPr="003F65C0">
        <w:rPr>
          <w:rFonts w:ascii="Arial" w:hAnsi="Arial" w:cs="Arial"/>
        </w:rPr>
        <w:t xml:space="preserve"> RE </w:t>
      </w:r>
      <w:r w:rsidR="00E52435">
        <w:rPr>
          <w:rFonts w:ascii="Arial" w:hAnsi="Arial" w:cs="Arial"/>
        </w:rPr>
        <w:t>should</w:t>
      </w:r>
      <w:r w:rsidR="00E52435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>establish</w:t>
      </w:r>
      <w:r w:rsidR="005120A3">
        <w:rPr>
          <w:rFonts w:ascii="Arial" w:hAnsi="Arial" w:cs="Arial"/>
        </w:rPr>
        <w:t xml:space="preserve"> the limits</w:t>
      </w:r>
      <w:r w:rsidRPr="003F65C0">
        <w:rPr>
          <w:rFonts w:ascii="Arial" w:hAnsi="Arial" w:cs="Arial"/>
        </w:rPr>
        <w:t xml:space="preserve"> </w:t>
      </w:r>
      <w:r w:rsidR="005120A3">
        <w:rPr>
          <w:rFonts w:ascii="Arial" w:hAnsi="Arial" w:cs="Arial"/>
        </w:rPr>
        <w:t>between BE and other work a</w:t>
      </w:r>
      <w:r w:rsidRPr="003F65C0">
        <w:rPr>
          <w:rFonts w:ascii="Arial" w:hAnsi="Arial" w:cs="Arial"/>
        </w:rPr>
        <w:t>t the scoping meeting to insure that all parties involved with the design are aware of what portions of the project are funded from the BE.</w:t>
      </w:r>
    </w:p>
    <w:p w:rsidR="003F65C0" w:rsidRPr="003F65C0" w:rsidRDefault="003F65C0" w:rsidP="0075642C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9E16A2">
        <w:rPr>
          <w:rFonts w:ascii="Arial" w:hAnsi="Arial" w:cs="Arial"/>
        </w:rPr>
        <w:t>Like Items</w:t>
      </w:r>
      <w:r w:rsidRPr="003F65C0">
        <w:rPr>
          <w:rFonts w:ascii="Arial" w:hAnsi="Arial" w:cs="Arial"/>
        </w:rPr>
        <w:t xml:space="preserve"> are items required for the BE</w:t>
      </w:r>
      <w:r w:rsidR="009E16A2">
        <w:rPr>
          <w:rFonts w:ascii="Arial" w:hAnsi="Arial" w:cs="Arial"/>
        </w:rPr>
        <w:t xml:space="preserve"> work</w:t>
      </w:r>
      <w:r w:rsidRPr="003F65C0">
        <w:rPr>
          <w:rFonts w:ascii="Arial" w:hAnsi="Arial" w:cs="Arial"/>
        </w:rPr>
        <w:t xml:space="preserve">, as well as the other work.  Like Items that are quantified as 1 EACH, or 1 LUMP SUM need to be analyzed and proportioned so that the total quantity for BE </w:t>
      </w:r>
      <w:r w:rsidR="009E16A2">
        <w:rPr>
          <w:rFonts w:ascii="Arial" w:hAnsi="Arial" w:cs="Arial"/>
        </w:rPr>
        <w:t xml:space="preserve">work </w:t>
      </w:r>
      <w:r w:rsidRPr="003F65C0">
        <w:rPr>
          <w:rFonts w:ascii="Arial" w:hAnsi="Arial" w:cs="Arial"/>
        </w:rPr>
        <w:t xml:space="preserve">and the other work </w:t>
      </w:r>
      <w:r w:rsidR="009E16A2">
        <w:rPr>
          <w:rFonts w:ascii="Arial" w:hAnsi="Arial" w:cs="Arial"/>
        </w:rPr>
        <w:t>equals</w:t>
      </w:r>
      <w:r w:rsidRPr="003F65C0">
        <w:rPr>
          <w:rFonts w:ascii="Arial" w:hAnsi="Arial" w:cs="Arial"/>
        </w:rPr>
        <w:t xml:space="preserve"> 1.  An example would be mobilization.  The RE should determine the percent of the total item </w:t>
      </w:r>
      <w:r w:rsidR="009E16A2">
        <w:rPr>
          <w:rFonts w:ascii="Arial" w:hAnsi="Arial" w:cs="Arial"/>
        </w:rPr>
        <w:t>applicable to</w:t>
      </w:r>
      <w:r w:rsidRPr="003F65C0">
        <w:rPr>
          <w:rFonts w:ascii="Arial" w:hAnsi="Arial" w:cs="Arial"/>
        </w:rPr>
        <w:t xml:space="preserve"> the BE </w:t>
      </w:r>
      <w:r w:rsidR="009E16A2">
        <w:rPr>
          <w:rFonts w:ascii="Arial" w:hAnsi="Arial" w:cs="Arial"/>
        </w:rPr>
        <w:t xml:space="preserve">work </w:t>
      </w:r>
      <w:r w:rsidRPr="003F65C0">
        <w:rPr>
          <w:rFonts w:ascii="Arial" w:hAnsi="Arial" w:cs="Arial"/>
        </w:rPr>
        <w:t>compared to</w:t>
      </w:r>
      <w:r w:rsidR="009E16A2">
        <w:rPr>
          <w:rFonts w:ascii="Arial" w:hAnsi="Arial" w:cs="Arial"/>
        </w:rPr>
        <w:t xml:space="preserve"> that applicable to</w:t>
      </w:r>
      <w:r w:rsidRPr="003F65C0">
        <w:rPr>
          <w:rFonts w:ascii="Arial" w:hAnsi="Arial" w:cs="Arial"/>
        </w:rPr>
        <w:t xml:space="preserve"> the other work.  Decimal equivalents will then be </w:t>
      </w:r>
      <w:r w:rsidR="009E16A2">
        <w:rPr>
          <w:rFonts w:ascii="Arial" w:hAnsi="Arial" w:cs="Arial"/>
        </w:rPr>
        <w:t xml:space="preserve">listed in the tabulations for the two </w:t>
      </w:r>
      <w:r w:rsidR="009E16A2" w:rsidRPr="003F65C0">
        <w:rPr>
          <w:rFonts w:ascii="Arial" w:hAnsi="Arial" w:cs="Arial"/>
        </w:rPr>
        <w:t>categories</w:t>
      </w:r>
      <w:r w:rsidRPr="003F65C0">
        <w:rPr>
          <w:rFonts w:ascii="Arial" w:hAnsi="Arial" w:cs="Arial"/>
        </w:rPr>
        <w:t xml:space="preserve"> </w:t>
      </w:r>
      <w:r w:rsidR="009E16A2">
        <w:rPr>
          <w:rFonts w:ascii="Arial" w:hAnsi="Arial" w:cs="Arial"/>
        </w:rPr>
        <w:t xml:space="preserve">of work </w:t>
      </w:r>
      <w:r w:rsidRPr="003F65C0">
        <w:rPr>
          <w:rFonts w:ascii="Arial" w:hAnsi="Arial" w:cs="Arial"/>
        </w:rPr>
        <w:t xml:space="preserve">so that the total on the Summary of Approximate Quantities </w:t>
      </w:r>
      <w:r w:rsidR="009E16A2">
        <w:rPr>
          <w:rFonts w:ascii="Arial" w:hAnsi="Arial" w:cs="Arial"/>
        </w:rPr>
        <w:t>is</w:t>
      </w:r>
      <w:r w:rsidRPr="003F65C0">
        <w:rPr>
          <w:rFonts w:ascii="Arial" w:hAnsi="Arial" w:cs="Arial"/>
        </w:rPr>
        <w:t xml:space="preserve"> a value of 1.</w:t>
      </w:r>
    </w:p>
    <w:p w:rsidR="003F65C0" w:rsidRPr="003F65C0" w:rsidRDefault="003F65C0" w:rsidP="0075642C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9E16A2">
        <w:rPr>
          <w:rFonts w:ascii="Arial" w:hAnsi="Arial" w:cs="Arial"/>
        </w:rPr>
        <w:t>MCR and Force Account items</w:t>
      </w:r>
      <w:r w:rsidRPr="003F65C0">
        <w:rPr>
          <w:rFonts w:ascii="Arial" w:hAnsi="Arial" w:cs="Arial"/>
        </w:rPr>
        <w:t xml:space="preserve"> </w:t>
      </w:r>
      <w:r w:rsidR="009E16A2">
        <w:rPr>
          <w:rFonts w:ascii="Arial" w:hAnsi="Arial" w:cs="Arial"/>
        </w:rPr>
        <w:t xml:space="preserve">for the BE work </w:t>
      </w:r>
      <w:r w:rsidRPr="003F65C0">
        <w:rPr>
          <w:rFonts w:ascii="Arial" w:hAnsi="Arial" w:cs="Arial"/>
        </w:rPr>
        <w:t>will have to be accounted for separately from the other work.  MCR and F/A needs for the BE work will need to be analyzed and assigned a funding category separate from the other work.</w:t>
      </w:r>
    </w:p>
    <w:p w:rsidR="003F65C0" w:rsidRPr="003F65C0" w:rsidRDefault="003F65C0" w:rsidP="003F65C0">
      <w:pPr>
        <w:spacing w:after="120" w:line="247" w:lineRule="auto"/>
        <w:rPr>
          <w:rFonts w:ascii="Arial" w:hAnsi="Arial" w:cs="Arial"/>
        </w:rPr>
      </w:pPr>
    </w:p>
    <w:p w:rsidR="003F65C0" w:rsidRPr="003F65C0" w:rsidRDefault="003F65C0" w:rsidP="009E16A2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</w:rPr>
        <w:lastRenderedPageBreak/>
        <w:t xml:space="preserve">Only one schedule of </w:t>
      </w:r>
      <w:r w:rsidRPr="009E16A2">
        <w:rPr>
          <w:rFonts w:ascii="Arial" w:hAnsi="Arial" w:cs="Arial"/>
        </w:rPr>
        <w:t>materials testing frequencies</w:t>
      </w:r>
      <w:r w:rsidRPr="003F65C0">
        <w:rPr>
          <w:rFonts w:ascii="Arial" w:hAnsi="Arial" w:cs="Arial"/>
        </w:rPr>
        <w:t xml:space="preserve"> will be required.  However, incentive</w:t>
      </w:r>
      <w:r w:rsidR="009E16A2">
        <w:rPr>
          <w:rFonts w:ascii="Arial" w:hAnsi="Arial" w:cs="Arial"/>
        </w:rPr>
        <w:t>s,</w:t>
      </w:r>
      <w:r w:rsidR="009E16A2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>disincentive</w:t>
      </w:r>
      <w:r w:rsidR="009E16A2">
        <w:rPr>
          <w:rFonts w:ascii="Arial" w:hAnsi="Arial" w:cs="Arial"/>
        </w:rPr>
        <w:t>s</w:t>
      </w:r>
      <w:r w:rsidRPr="003F65C0">
        <w:rPr>
          <w:rFonts w:ascii="Arial" w:hAnsi="Arial" w:cs="Arial"/>
        </w:rPr>
        <w:t>, and price reduction</w:t>
      </w:r>
      <w:r w:rsidR="00DF4565">
        <w:rPr>
          <w:rFonts w:ascii="Arial" w:hAnsi="Arial" w:cs="Arial"/>
        </w:rPr>
        <w:t>s</w:t>
      </w:r>
      <w:r w:rsidRPr="003F65C0">
        <w:rPr>
          <w:rFonts w:ascii="Arial" w:hAnsi="Arial" w:cs="Arial"/>
        </w:rPr>
        <w:t xml:space="preserve"> will have to </w:t>
      </w:r>
      <w:r w:rsidR="009E16A2">
        <w:rPr>
          <w:rFonts w:ascii="Arial" w:hAnsi="Arial" w:cs="Arial"/>
        </w:rPr>
        <w:t>be tracked</w:t>
      </w:r>
      <w:r w:rsidR="009E16A2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>separate</w:t>
      </w:r>
      <w:r w:rsidR="009E16A2">
        <w:rPr>
          <w:rFonts w:ascii="Arial" w:hAnsi="Arial" w:cs="Arial"/>
        </w:rPr>
        <w:t>ly for the two categories of work</w:t>
      </w:r>
      <w:r w:rsidRPr="003F65C0">
        <w:rPr>
          <w:rFonts w:ascii="Arial" w:hAnsi="Arial" w:cs="Arial"/>
        </w:rPr>
        <w:t xml:space="preserve">.  Therefore, </w:t>
      </w:r>
      <w:r w:rsidR="00DF4565">
        <w:rPr>
          <w:rFonts w:ascii="Arial" w:hAnsi="Arial" w:cs="Arial"/>
        </w:rPr>
        <w:t xml:space="preserve">separate planned </w:t>
      </w:r>
      <w:r w:rsidRPr="003F65C0">
        <w:rPr>
          <w:rFonts w:ascii="Arial" w:hAnsi="Arial" w:cs="Arial"/>
        </w:rPr>
        <w:t xml:space="preserve">force account items will have to be set up for the BE </w:t>
      </w:r>
      <w:r w:rsidR="00DF4565">
        <w:rPr>
          <w:rFonts w:ascii="Arial" w:hAnsi="Arial" w:cs="Arial"/>
        </w:rPr>
        <w:t>work and</w:t>
      </w:r>
      <w:r w:rsidRPr="003F65C0">
        <w:rPr>
          <w:rFonts w:ascii="Arial" w:hAnsi="Arial" w:cs="Arial"/>
        </w:rPr>
        <w:t xml:space="preserve"> the </w:t>
      </w:r>
      <w:r w:rsidR="0083026E">
        <w:rPr>
          <w:rFonts w:ascii="Arial" w:hAnsi="Arial" w:cs="Arial"/>
        </w:rPr>
        <w:t>other</w:t>
      </w:r>
      <w:r w:rsidR="00DF4565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 xml:space="preserve">work. </w:t>
      </w:r>
    </w:p>
    <w:p w:rsidR="003F65C0" w:rsidRPr="003F65C0" w:rsidRDefault="003F65C0" w:rsidP="009E16A2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Only one </w:t>
      </w:r>
      <w:r w:rsidRPr="00DF4565">
        <w:rPr>
          <w:rFonts w:ascii="Arial" w:hAnsi="Arial" w:cs="Arial"/>
        </w:rPr>
        <w:t>clearance</w:t>
      </w:r>
      <w:r w:rsidRPr="003F65C0">
        <w:rPr>
          <w:rFonts w:ascii="Arial" w:hAnsi="Arial" w:cs="Arial"/>
          <w:b/>
        </w:rPr>
        <w:t xml:space="preserve"> </w:t>
      </w:r>
      <w:r w:rsidRPr="003F65C0">
        <w:rPr>
          <w:rFonts w:ascii="Arial" w:hAnsi="Arial" w:cs="Arial"/>
        </w:rPr>
        <w:t>from each region specialty unit</w:t>
      </w:r>
      <w:r w:rsidRPr="003F65C0">
        <w:rPr>
          <w:rFonts w:ascii="Arial" w:hAnsi="Arial" w:cs="Arial"/>
          <w:b/>
        </w:rPr>
        <w:t xml:space="preserve"> </w:t>
      </w:r>
      <w:r w:rsidRPr="003F65C0">
        <w:rPr>
          <w:rFonts w:ascii="Arial" w:hAnsi="Arial" w:cs="Arial"/>
        </w:rPr>
        <w:t xml:space="preserve">will be required for the project.  However, preliminary engineering costs associated with gaining the clearance for the BE work must be kept separate from the </w:t>
      </w:r>
      <w:r w:rsidR="00DF4565">
        <w:rPr>
          <w:rFonts w:ascii="Arial" w:hAnsi="Arial" w:cs="Arial"/>
        </w:rPr>
        <w:t xml:space="preserve">costs for clearing the </w:t>
      </w:r>
      <w:r w:rsidR="001B5102">
        <w:rPr>
          <w:rFonts w:ascii="Arial" w:hAnsi="Arial" w:cs="Arial"/>
        </w:rPr>
        <w:t>other</w:t>
      </w:r>
      <w:r w:rsidR="00DF4565">
        <w:rPr>
          <w:rFonts w:ascii="Arial" w:hAnsi="Arial" w:cs="Arial"/>
        </w:rPr>
        <w:t xml:space="preserve"> funded</w:t>
      </w:r>
      <w:r w:rsidRPr="003F65C0">
        <w:rPr>
          <w:rFonts w:ascii="Arial" w:hAnsi="Arial" w:cs="Arial"/>
        </w:rPr>
        <w:t xml:space="preserve"> work. </w:t>
      </w:r>
    </w:p>
    <w:p w:rsidR="003F65C0" w:rsidRPr="003F65C0" w:rsidRDefault="003F65C0" w:rsidP="009E16A2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Only one </w:t>
      </w:r>
      <w:r w:rsidRPr="00DF4565">
        <w:rPr>
          <w:rFonts w:ascii="Arial" w:hAnsi="Arial" w:cs="Arial"/>
        </w:rPr>
        <w:t>draw down schedule</w:t>
      </w:r>
      <w:r w:rsidRPr="003F65C0">
        <w:rPr>
          <w:rFonts w:ascii="Arial" w:hAnsi="Arial" w:cs="Arial"/>
        </w:rPr>
        <w:t xml:space="preserve"> will be required.  However, BE costs need to be </w:t>
      </w:r>
      <w:r w:rsidR="00DF4565">
        <w:rPr>
          <w:rFonts w:ascii="Arial" w:hAnsi="Arial" w:cs="Arial"/>
        </w:rPr>
        <w:t>tracked</w:t>
      </w:r>
      <w:r w:rsidR="00DF4565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 xml:space="preserve">separately from the costs of </w:t>
      </w:r>
      <w:r w:rsidR="00DF4565">
        <w:rPr>
          <w:rFonts w:ascii="Arial" w:hAnsi="Arial" w:cs="Arial"/>
        </w:rPr>
        <w:t xml:space="preserve">the </w:t>
      </w:r>
      <w:r w:rsidR="009813F0">
        <w:rPr>
          <w:rFonts w:ascii="Arial" w:hAnsi="Arial" w:cs="Arial"/>
        </w:rPr>
        <w:t>other</w:t>
      </w:r>
      <w:r w:rsidR="00DF4565">
        <w:rPr>
          <w:rFonts w:ascii="Arial" w:hAnsi="Arial" w:cs="Arial"/>
        </w:rPr>
        <w:t xml:space="preserve"> funded</w:t>
      </w:r>
      <w:r w:rsidR="00DF4565" w:rsidRPr="003F65C0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>work.</w:t>
      </w:r>
    </w:p>
    <w:p w:rsidR="003F65C0" w:rsidRPr="003F65C0" w:rsidRDefault="003F65C0" w:rsidP="009E16A2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</w:rPr>
      </w:pPr>
      <w:r w:rsidRPr="003F65C0">
        <w:rPr>
          <w:rFonts w:ascii="Arial" w:hAnsi="Arial" w:cs="Arial"/>
        </w:rPr>
        <w:t xml:space="preserve">Only one goal </w:t>
      </w:r>
      <w:r w:rsidR="00DF4565">
        <w:rPr>
          <w:rFonts w:ascii="Arial" w:hAnsi="Arial" w:cs="Arial"/>
        </w:rPr>
        <w:t>for</w:t>
      </w:r>
      <w:r w:rsidRPr="003F65C0">
        <w:rPr>
          <w:rFonts w:ascii="Arial" w:hAnsi="Arial" w:cs="Arial"/>
        </w:rPr>
        <w:t xml:space="preserve"> </w:t>
      </w:r>
      <w:r w:rsidRPr="00DF4565">
        <w:rPr>
          <w:rFonts w:ascii="Arial" w:hAnsi="Arial" w:cs="Arial"/>
        </w:rPr>
        <w:t>UDBE participation</w:t>
      </w:r>
      <w:r w:rsidRPr="003F65C0">
        <w:rPr>
          <w:rFonts w:ascii="Arial" w:hAnsi="Arial" w:cs="Arial"/>
        </w:rPr>
        <w:t xml:space="preserve"> will be needed for the single project.</w:t>
      </w:r>
    </w:p>
    <w:p w:rsidR="003F65C0" w:rsidRPr="003F65C0" w:rsidRDefault="003F65C0" w:rsidP="009E16A2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  <w:i/>
        </w:rPr>
      </w:pPr>
      <w:r w:rsidRPr="00DF4565">
        <w:rPr>
          <w:rFonts w:ascii="Arial" w:hAnsi="Arial" w:cs="Arial"/>
        </w:rPr>
        <w:t>Davis Bacon</w:t>
      </w:r>
      <w:r w:rsidRPr="003F65C0">
        <w:rPr>
          <w:rFonts w:ascii="Arial" w:hAnsi="Arial" w:cs="Arial"/>
        </w:rPr>
        <w:t xml:space="preserve"> rules apply similarly to our typical CDOT projects.  Davis Bacon rules apply if there are any federal dollars used as a source of funding for any portion of the project.</w:t>
      </w:r>
    </w:p>
    <w:p w:rsidR="003F65C0" w:rsidRPr="003F65C0" w:rsidRDefault="003F65C0" w:rsidP="009E16A2">
      <w:pPr>
        <w:numPr>
          <w:ilvl w:val="0"/>
          <w:numId w:val="2"/>
        </w:numPr>
        <w:tabs>
          <w:tab w:val="left" w:pos="360"/>
        </w:tabs>
        <w:spacing w:after="120" w:line="247" w:lineRule="auto"/>
        <w:ind w:left="360"/>
        <w:rPr>
          <w:rFonts w:ascii="Arial" w:hAnsi="Arial" w:cs="Arial"/>
          <w:i/>
        </w:rPr>
      </w:pPr>
      <w:r w:rsidRPr="003F65C0">
        <w:rPr>
          <w:rFonts w:ascii="Arial" w:hAnsi="Arial" w:cs="Arial"/>
        </w:rPr>
        <w:t xml:space="preserve">Please contact the Office of Finance and Budget </w:t>
      </w:r>
      <w:r w:rsidR="001B5102">
        <w:rPr>
          <w:rFonts w:ascii="Arial" w:hAnsi="Arial" w:cs="Arial"/>
        </w:rPr>
        <w:t>(</w:t>
      </w:r>
      <w:r w:rsidRPr="003F65C0">
        <w:rPr>
          <w:rFonts w:ascii="Arial" w:hAnsi="Arial" w:cs="Arial"/>
        </w:rPr>
        <w:t xml:space="preserve">OFMB) </w:t>
      </w:r>
      <w:r w:rsidR="001B5102">
        <w:rPr>
          <w:rFonts w:ascii="Arial" w:hAnsi="Arial" w:cs="Arial"/>
        </w:rPr>
        <w:t>(Darrell Johnson: 303-757-9032</w:t>
      </w:r>
      <w:r w:rsidR="006817A7">
        <w:rPr>
          <w:rFonts w:ascii="Arial" w:hAnsi="Arial" w:cs="Arial"/>
        </w:rPr>
        <w:t>)</w:t>
      </w:r>
      <w:r w:rsidR="001B5102">
        <w:rPr>
          <w:rFonts w:ascii="Arial" w:hAnsi="Arial" w:cs="Arial"/>
        </w:rPr>
        <w:t xml:space="preserve"> </w:t>
      </w:r>
      <w:r w:rsidRPr="003F65C0">
        <w:rPr>
          <w:rFonts w:ascii="Arial" w:hAnsi="Arial" w:cs="Arial"/>
        </w:rPr>
        <w:t xml:space="preserve">for SAP and Trns•port direction regarding </w:t>
      </w:r>
      <w:r w:rsidRPr="00DF4565">
        <w:rPr>
          <w:rFonts w:ascii="Arial" w:hAnsi="Arial" w:cs="Arial"/>
        </w:rPr>
        <w:t>Construction Engineering</w:t>
      </w:r>
      <w:r w:rsidRPr="003F65C0">
        <w:rPr>
          <w:rFonts w:ascii="Arial" w:hAnsi="Arial" w:cs="Arial"/>
        </w:rPr>
        <w:t xml:space="preserve"> (CE) rates.</w:t>
      </w:r>
    </w:p>
    <w:p w:rsidR="00F4227C" w:rsidRPr="003F65C0" w:rsidRDefault="00DF4565" w:rsidP="003F65C0">
      <w:pPr>
        <w:spacing w:after="120" w:line="24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Projects with combined BE and CDOT funding </w:t>
      </w:r>
      <w:r w:rsidR="009813F0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advertised as a single contract</w:t>
      </w:r>
      <w:r w:rsidR="003F65C0" w:rsidRPr="003F65C0">
        <w:rPr>
          <w:rFonts w:ascii="Arial" w:hAnsi="Arial" w:cs="Arial"/>
          <w:i/>
        </w:rPr>
        <w:t>.</w:t>
      </w:r>
    </w:p>
    <w:p w:rsidR="00822A69" w:rsidRPr="003F65C0" w:rsidRDefault="00822A69" w:rsidP="003F65C0">
      <w:pPr>
        <w:spacing w:after="120" w:line="247" w:lineRule="auto"/>
        <w:rPr>
          <w:rFonts w:ascii="Arial" w:hAnsi="Arial" w:cs="Arial"/>
        </w:rPr>
      </w:pPr>
      <w:r>
        <w:rPr>
          <w:rFonts w:ascii="Arial" w:hAnsi="Arial" w:cs="Arial"/>
        </w:rPr>
        <w:t>If you have any questions, contact your area engineer in the Project Development Branch.</w:t>
      </w:r>
    </w:p>
    <w:sectPr w:rsidR="00822A69" w:rsidRPr="003F65C0" w:rsidSect="00F71829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A6" w:rsidRDefault="00F762A6">
      <w:r>
        <w:separator/>
      </w:r>
    </w:p>
  </w:endnote>
  <w:endnote w:type="continuationSeparator" w:id="0">
    <w:p w:rsidR="00F762A6" w:rsidRDefault="00F7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A6" w:rsidRDefault="00F762A6">
      <w:r>
        <w:separator/>
      </w:r>
    </w:p>
  </w:footnote>
  <w:footnote w:type="continuationSeparator" w:id="0">
    <w:p w:rsidR="00F762A6" w:rsidRDefault="00F7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/>
    </w:tblPr>
    <w:tblGrid>
      <w:gridCol w:w="3168"/>
      <w:gridCol w:w="2430"/>
      <w:gridCol w:w="4698"/>
    </w:tblGrid>
    <w:tr w:rsidR="00350552" w:rsidTr="00350552">
      <w:tc>
        <w:tcPr>
          <w:tcW w:w="3168" w:type="dxa"/>
          <w:vAlign w:val="center"/>
        </w:tcPr>
        <w:p w:rsidR="00F71829" w:rsidRDefault="003957C4" w:rsidP="00AF44E2">
          <w:pPr>
            <w:jc w:val="center"/>
          </w:pPr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6pt;height:45.65pt" o:ole="" fillcolor="window">
                <v:imagedata r:id="rId1" o:title=""/>
              </v:shape>
              <o:OLEObject Type="Embed" ProgID="Word.Picture.8" ShapeID="_x0000_i1025" DrawAspect="Content" ObjectID="_1348903005" r:id="rId2"/>
            </w:object>
          </w:r>
        </w:p>
      </w:tc>
      <w:tc>
        <w:tcPr>
          <w:tcW w:w="7128" w:type="dxa"/>
          <w:gridSpan w:val="2"/>
          <w:vAlign w:val="center"/>
        </w:tcPr>
        <w:p w:rsidR="00F71829" w:rsidRDefault="00C10787" w:rsidP="00AF44E2">
          <w:pPr>
            <w:jc w:val="center"/>
          </w:pPr>
          <w:r>
            <w:rPr>
              <w:rFonts w:ascii="Impact" w:hAnsi="Impact"/>
              <w:sz w:val="69"/>
              <w:szCs w:val="69"/>
            </w:rPr>
            <w:tab/>
          </w:r>
          <w:r>
            <w:rPr>
              <w:rFonts w:ascii="Impact" w:hAnsi="Impact"/>
              <w:sz w:val="69"/>
              <w:szCs w:val="69"/>
            </w:rPr>
            <w:tab/>
            <w:t>DESIGN</w:t>
          </w:r>
          <w:r w:rsidR="003957C4" w:rsidRPr="00AF44E2">
            <w:rPr>
              <w:rFonts w:ascii="Impact" w:hAnsi="Impact"/>
              <w:sz w:val="69"/>
              <w:szCs w:val="69"/>
            </w:rPr>
            <w:t xml:space="preserve"> BULLETIN</w:t>
          </w:r>
        </w:p>
      </w:tc>
    </w:tr>
    <w:tr w:rsidR="003957C4" w:rsidTr="00B57C04">
      <w:trPr>
        <w:cantSplit/>
        <w:trHeight w:val="144"/>
      </w:trPr>
      <w:tc>
        <w:tcPr>
          <w:tcW w:w="10296" w:type="dxa"/>
          <w:gridSpan w:val="3"/>
        </w:tcPr>
        <w:p w:rsidR="003957C4" w:rsidRDefault="003957C4" w:rsidP="00F71829"/>
      </w:tc>
    </w:tr>
    <w:tr w:rsidR="003957C4" w:rsidRPr="00AF44E2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3957C4" w:rsidRPr="00AF44E2" w:rsidRDefault="003957C4" w:rsidP="003957C4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3957C4" w:rsidRPr="00AF44E2" w:rsidRDefault="003F65C0" w:rsidP="003957C4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Combined BE &amp; CDOT Funded Projects</w:t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Pr="00AF44E2" w:rsidRDefault="003957C4" w:rsidP="003957C4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:rsidR="00F71829" w:rsidRPr="00AF44E2" w:rsidRDefault="003957C4" w:rsidP="001B5102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 w:rsidR="002C4BDA">
            <w:rPr>
              <w:rFonts w:ascii="Arial" w:hAnsi="Arial" w:cs="Arial"/>
              <w:sz w:val="23"/>
              <w:szCs w:val="23"/>
            </w:rPr>
            <w:t>1</w:t>
          </w:r>
          <w:r w:rsidRPr="00AF44E2">
            <w:rPr>
              <w:rFonts w:ascii="Arial" w:hAnsi="Arial" w:cs="Arial"/>
              <w:sz w:val="23"/>
              <w:szCs w:val="23"/>
            </w:rPr>
            <w:t xml:space="preserve">0 Number </w:t>
          </w:r>
          <w:r w:rsidR="001B5102" w:rsidRPr="001B5102">
            <w:rPr>
              <w:rFonts w:ascii="Arial" w:hAnsi="Arial" w:cs="Arial"/>
              <w:sz w:val="23"/>
              <w:szCs w:val="23"/>
            </w:rPr>
            <w:t>8</w:t>
          </w:r>
          <w:r w:rsidRPr="00AF44E2">
            <w:rPr>
              <w:rFonts w:ascii="Arial" w:hAnsi="Arial" w:cs="Arial"/>
              <w:sz w:val="23"/>
              <w:szCs w:val="23"/>
            </w:rPr>
            <w:t xml:space="preserve">, </w:t>
          </w:r>
          <w:r w:rsidR="00AF44E2" w:rsidRPr="00AF44E2">
            <w:rPr>
              <w:rFonts w:ascii="Arial" w:hAnsi="Arial" w:cs="Arial"/>
              <w:sz w:val="23"/>
              <w:szCs w:val="23"/>
            </w:rPr>
            <w:t xml:space="preserve">Page </w:t>
          </w:r>
          <w:r w:rsidR="00F30C95"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="00AF44E2" w:rsidRPr="00AF44E2">
            <w:rPr>
              <w:rFonts w:ascii="Arial" w:hAnsi="Arial" w:cs="Arial"/>
              <w:sz w:val="23"/>
              <w:szCs w:val="23"/>
            </w:rPr>
            <w:instrText xml:space="preserve"> PAGE </w:instrText>
          </w:r>
          <w:r w:rsidR="00F30C95"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6817A7">
            <w:rPr>
              <w:rFonts w:ascii="Arial" w:hAnsi="Arial" w:cs="Arial"/>
              <w:noProof/>
              <w:sz w:val="23"/>
              <w:szCs w:val="23"/>
            </w:rPr>
            <w:t>3</w:t>
          </w:r>
          <w:r w:rsidR="00F30C95" w:rsidRPr="00AF44E2">
            <w:rPr>
              <w:rFonts w:ascii="Arial" w:hAnsi="Arial" w:cs="Arial"/>
              <w:sz w:val="23"/>
              <w:szCs w:val="23"/>
            </w:rPr>
            <w:fldChar w:fldCharType="end"/>
          </w:r>
          <w:r w:rsidR="00AF44E2" w:rsidRPr="00AF44E2">
            <w:rPr>
              <w:rFonts w:ascii="Arial" w:hAnsi="Arial" w:cs="Arial"/>
              <w:sz w:val="23"/>
              <w:szCs w:val="23"/>
            </w:rPr>
            <w:t xml:space="preserve"> of </w:t>
          </w:r>
          <w:r w:rsidR="00F30C95"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="00AF44E2" w:rsidRPr="00AF44E2">
            <w:rPr>
              <w:rFonts w:ascii="Arial" w:hAnsi="Arial" w:cs="Arial"/>
              <w:sz w:val="23"/>
              <w:szCs w:val="23"/>
            </w:rPr>
            <w:instrText xml:space="preserve"> NUMPAGES  </w:instrText>
          </w:r>
          <w:r w:rsidR="00F30C95"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D7083A">
            <w:rPr>
              <w:rFonts w:ascii="Arial" w:hAnsi="Arial" w:cs="Arial"/>
              <w:noProof/>
              <w:sz w:val="23"/>
              <w:szCs w:val="23"/>
            </w:rPr>
            <w:t>3</w:t>
          </w:r>
          <w:r w:rsidR="00F30C95" w:rsidRPr="00AF44E2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Default="00F71829" w:rsidP="003957C4"/>
      </w:tc>
      <w:tc>
        <w:tcPr>
          <w:tcW w:w="4698" w:type="dxa"/>
          <w:vAlign w:val="center"/>
        </w:tcPr>
        <w:p w:rsidR="00F71829" w:rsidRPr="00AF44E2" w:rsidRDefault="003957C4" w:rsidP="001B5102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1B5102">
            <w:rPr>
              <w:rFonts w:ascii="Arial" w:hAnsi="Arial" w:cs="Arial"/>
              <w:sz w:val="23"/>
              <w:szCs w:val="23"/>
            </w:rPr>
            <w:t>October 21,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20</w:t>
          </w:r>
          <w:r w:rsidR="007D71C6">
            <w:rPr>
              <w:rFonts w:ascii="Arial" w:hAnsi="Arial" w:cs="Arial"/>
              <w:sz w:val="23"/>
              <w:szCs w:val="23"/>
            </w:rPr>
            <w:t>10</w:t>
          </w:r>
        </w:p>
      </w:tc>
    </w:tr>
  </w:tbl>
  <w:p w:rsidR="00F71829" w:rsidRPr="00F71829" w:rsidRDefault="00F71829" w:rsidP="00F718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5097"/>
    <w:multiLevelType w:val="hybridMultilevel"/>
    <w:tmpl w:val="A1BA076E"/>
    <w:lvl w:ilvl="0" w:tplc="52BC8C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D343D"/>
    <w:multiLevelType w:val="hybridMultilevel"/>
    <w:tmpl w:val="E5E4EA72"/>
    <w:lvl w:ilvl="0" w:tplc="995CF4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4A5D"/>
    <w:rsid w:val="000447B4"/>
    <w:rsid w:val="000920D0"/>
    <w:rsid w:val="00094983"/>
    <w:rsid w:val="000B1F60"/>
    <w:rsid w:val="000F1888"/>
    <w:rsid w:val="001827E1"/>
    <w:rsid w:val="00195856"/>
    <w:rsid w:val="001A29E6"/>
    <w:rsid w:val="001B5102"/>
    <w:rsid w:val="001E36D0"/>
    <w:rsid w:val="001F343D"/>
    <w:rsid w:val="002117EA"/>
    <w:rsid w:val="0023781A"/>
    <w:rsid w:val="00250962"/>
    <w:rsid w:val="00255AA3"/>
    <w:rsid w:val="002B0D6A"/>
    <w:rsid w:val="002C4BDA"/>
    <w:rsid w:val="00305096"/>
    <w:rsid w:val="0032533B"/>
    <w:rsid w:val="00350552"/>
    <w:rsid w:val="00354A5D"/>
    <w:rsid w:val="00370784"/>
    <w:rsid w:val="003866FD"/>
    <w:rsid w:val="003957C4"/>
    <w:rsid w:val="003A08B6"/>
    <w:rsid w:val="003F65C0"/>
    <w:rsid w:val="00415ACD"/>
    <w:rsid w:val="004904DC"/>
    <w:rsid w:val="004D3DC4"/>
    <w:rsid w:val="004E0172"/>
    <w:rsid w:val="005120A3"/>
    <w:rsid w:val="00534CAA"/>
    <w:rsid w:val="0054092E"/>
    <w:rsid w:val="005510A6"/>
    <w:rsid w:val="005648BD"/>
    <w:rsid w:val="00590FF6"/>
    <w:rsid w:val="005A4278"/>
    <w:rsid w:val="0060251D"/>
    <w:rsid w:val="00633481"/>
    <w:rsid w:val="006817A7"/>
    <w:rsid w:val="0075642C"/>
    <w:rsid w:val="00774F2C"/>
    <w:rsid w:val="007A1ACF"/>
    <w:rsid w:val="007D71C6"/>
    <w:rsid w:val="00822A69"/>
    <w:rsid w:val="0083026E"/>
    <w:rsid w:val="008378E4"/>
    <w:rsid w:val="0085593E"/>
    <w:rsid w:val="00866041"/>
    <w:rsid w:val="00894F26"/>
    <w:rsid w:val="008E2D23"/>
    <w:rsid w:val="008F3E7E"/>
    <w:rsid w:val="00912BB2"/>
    <w:rsid w:val="009318C5"/>
    <w:rsid w:val="00956916"/>
    <w:rsid w:val="009813F0"/>
    <w:rsid w:val="009C311A"/>
    <w:rsid w:val="009E16A2"/>
    <w:rsid w:val="009F1229"/>
    <w:rsid w:val="00A3379D"/>
    <w:rsid w:val="00A94CB9"/>
    <w:rsid w:val="00A95E8E"/>
    <w:rsid w:val="00AB74FC"/>
    <w:rsid w:val="00AE1507"/>
    <w:rsid w:val="00AF44E2"/>
    <w:rsid w:val="00B43BC7"/>
    <w:rsid w:val="00B57C04"/>
    <w:rsid w:val="00B82CDC"/>
    <w:rsid w:val="00BA767D"/>
    <w:rsid w:val="00BC446B"/>
    <w:rsid w:val="00BE4FC3"/>
    <w:rsid w:val="00C10787"/>
    <w:rsid w:val="00C136A5"/>
    <w:rsid w:val="00C140D9"/>
    <w:rsid w:val="00CC19C5"/>
    <w:rsid w:val="00CC3E68"/>
    <w:rsid w:val="00CF239F"/>
    <w:rsid w:val="00D22466"/>
    <w:rsid w:val="00D31C78"/>
    <w:rsid w:val="00D4320B"/>
    <w:rsid w:val="00D7083A"/>
    <w:rsid w:val="00D90A35"/>
    <w:rsid w:val="00D95B86"/>
    <w:rsid w:val="00DC22ED"/>
    <w:rsid w:val="00DF4565"/>
    <w:rsid w:val="00E52435"/>
    <w:rsid w:val="00E536F3"/>
    <w:rsid w:val="00E91FBC"/>
    <w:rsid w:val="00F30C95"/>
    <w:rsid w:val="00F4227C"/>
    <w:rsid w:val="00F617C0"/>
    <w:rsid w:val="00F6390F"/>
    <w:rsid w:val="00F71829"/>
    <w:rsid w:val="00F762A6"/>
    <w:rsid w:val="00F82BBB"/>
    <w:rsid w:val="00FA6659"/>
    <w:rsid w:val="00FB3825"/>
    <w:rsid w:val="00FB46F6"/>
    <w:rsid w:val="00FC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334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3481"/>
  </w:style>
  <w:style w:type="paragraph" w:styleId="CommentSubject">
    <w:name w:val="annotation subject"/>
    <w:basedOn w:val="CommentText"/>
    <w:next w:val="CommentText"/>
    <w:link w:val="CommentSubjectChar"/>
    <w:rsid w:val="00633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3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Mike Coy</cp:lastModifiedBy>
  <cp:revision>12</cp:revision>
  <cp:lastPrinted>2010-10-18T16:27:00Z</cp:lastPrinted>
  <dcterms:created xsi:type="dcterms:W3CDTF">2010-10-18T15:23:00Z</dcterms:created>
  <dcterms:modified xsi:type="dcterms:W3CDTF">2010-10-18T16:30:00Z</dcterms:modified>
</cp:coreProperties>
</file>